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221C" w14:textId="281DD461" w:rsidR="00043F5F" w:rsidRDefault="00043F5F" w:rsidP="00043F5F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Общероссийская общественная организация</w:t>
      </w:r>
    </w:p>
    <w:p w14:paraId="67AF584C" w14:textId="2C19670D" w:rsidR="00043F5F" w:rsidRDefault="00043F5F" w:rsidP="00043F5F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Ассоциация медицинских сестер России</w:t>
      </w:r>
    </w:p>
    <w:p w14:paraId="6593359D" w14:textId="77777777" w:rsidR="00043F5F" w:rsidRDefault="00043F5F" w:rsidP="00043F5F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22512F2" w14:textId="77777777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23549300" w14:textId="68A6142A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46608F76" w14:textId="77777777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13C32A3E" w14:textId="1F0A984B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СПЕЦИАЛИЗИРОВАННАЯ СЕКЦИЯ АРОО «ПСА»</w:t>
      </w:r>
    </w:p>
    <w:p w14:paraId="41383C8D" w14:textId="02118623" w:rsidR="00043F5F" w:rsidRDefault="00592833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«СЕСТРИНСКОЕ ДЕЛО В ПСИХИАТРИИ</w:t>
      </w:r>
      <w:r w:rsidR="00043F5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»</w:t>
      </w:r>
    </w:p>
    <w:p w14:paraId="2577D79F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0197C5E8" w14:textId="5585C643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ПРОГРАММА</w:t>
      </w:r>
    </w:p>
    <w:p w14:paraId="5019DBB9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НАУЧНО-ПРАКТИЧЕСКОЙ КОНФЕРЕНЦИИ</w:t>
      </w:r>
    </w:p>
    <w:p w14:paraId="0B0F3AC7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624E8D5A" w14:textId="417DEB41" w:rsidR="00043F5F" w:rsidRDefault="00592833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36"/>
          <w:szCs w:val="36"/>
        </w:rPr>
        <w:t>«Психическая индивидуальность человека»</w:t>
      </w:r>
    </w:p>
    <w:p w14:paraId="7A91A436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055A8BF" w14:textId="798096E5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Дата проведения:</w:t>
      </w:r>
      <w:r w:rsidR="00B6315E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11.10.2023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г.</w:t>
      </w:r>
    </w:p>
    <w:p w14:paraId="31378E6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3B5F48FB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Место проведения: 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val="en-US" w:eastAsia="zh-CN" w:bidi="hi-IN"/>
        </w:rPr>
        <w:t>webinar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WenQuanYi Micro Hei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  <w:r w:rsidRPr="00043F5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667735FE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-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2"/>
        <w:gridCol w:w="8377"/>
      </w:tblGrid>
      <w:tr w:rsidR="0075776F" w14:paraId="06258FA2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F2F3D" w14:textId="77777777" w:rsidR="00043F5F" w:rsidRPr="008C10C9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3E219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75776F" w14:paraId="11AC1693" w14:textId="77777777" w:rsidTr="008C10C9">
        <w:tc>
          <w:tcPr>
            <w:tcW w:w="1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3F651" w14:textId="67F70D85" w:rsidR="00043F5F" w:rsidRPr="008C10C9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10.05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D71AB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Приветственное слово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5FCE8AB4" w14:textId="02788CA3" w:rsidR="00043F5F" w:rsidRDefault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Петровны, </w:t>
            </w:r>
            <w:r w:rsidR="008136DC">
              <w:rPr>
                <w:rFonts w:ascii="Times New Roman" w:hAnsi="Times New Roman" w:cs="Times New Roman"/>
                <w:sz w:val="28"/>
                <w:szCs w:val="28"/>
              </w:rPr>
              <w:t xml:space="preserve">к.м.н.,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75776F" w14:paraId="0FD8A026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AD08F" w14:textId="125D9C46" w:rsidR="00043F5F" w:rsidRPr="008C10C9" w:rsidRDefault="0059283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10.05-10.20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FB88A" w14:textId="3E1FCCA6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F6514F" w:rsidRP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Суицидальное поведение у детей и подростков</w:t>
            </w:r>
            <w:r w:rsid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E324129" w14:textId="447788AA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6514F" w:rsidRP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Денисова Елена Анатольевна</w:t>
            </w:r>
            <w:r w:rsid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6514F" w:rsidRPr="00F6514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заведующая детским отделением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ГБУЗ АО «ОКПБ»,</w:t>
            </w:r>
            <w:r w:rsidR="0095545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г. Астрахань</w:t>
            </w:r>
          </w:p>
          <w:p w14:paraId="256787FC" w14:textId="57765413" w:rsidR="008E5DE5" w:rsidRDefault="00E344BD" w:rsidP="00242D1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расскажет о </w:t>
            </w:r>
            <w:r w:rsid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суицидально</w:t>
            </w:r>
            <w:r w:rsidR="00F6514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м</w:t>
            </w:r>
            <w:r w:rsid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поведени</w:t>
            </w:r>
            <w:r w:rsidR="00F6514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</w:t>
            </w:r>
            <w:r w:rsid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у подростков,</w:t>
            </w:r>
            <w:r w:rsidRPr="00E344B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включающ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ем</w:t>
            </w:r>
            <w:r w:rsidRPr="00E344B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разнообразные проявления психической деятельности, направленные на самоубийство. </w:t>
            </w:r>
            <w:r w:rsid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об основных симптомах, предшествующих суицидальным попыткам, об о</w:t>
            </w:r>
            <w:r w:rsidR="00242D1D" w:rsidRP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сложнени</w:t>
            </w:r>
            <w:r w:rsid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ях с</w:t>
            </w:r>
            <w:r w:rsidR="00242D1D" w:rsidRP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уицидально</w:t>
            </w:r>
            <w:r w:rsid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го</w:t>
            </w:r>
            <w:r w:rsidR="00242D1D" w:rsidRP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поведени</w:t>
            </w:r>
            <w:r w:rsid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я</w:t>
            </w:r>
            <w:r w:rsidR="00242D1D" w:rsidRP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не закончивше</w:t>
            </w:r>
            <w:r w:rsid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гося</w:t>
            </w:r>
            <w:r w:rsidR="00242D1D" w:rsidRP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смертью</w:t>
            </w:r>
            <w:r w:rsidR="00242D1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  <w:r w:rsidR="005D5B4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Лектор даст </w:t>
            </w:r>
            <w:r w:rsidR="00AF102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практические рекомендации</w:t>
            </w:r>
            <w:r w:rsidR="005D5B4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по предотвращению суицидальных попыток у подростков.</w:t>
            </w:r>
          </w:p>
        </w:tc>
      </w:tr>
      <w:tr w:rsidR="0075776F" w14:paraId="6BC4673A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847DDE" w14:textId="2CF69C46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10.20-10.30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D116D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  <w:p w14:paraId="69DD59A1" w14:textId="58205155" w:rsidR="00A71272" w:rsidRDefault="00A7127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3CB6A6E0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911EE" w14:textId="34586FFE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10.30-10.45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0D795" w14:textId="21BBE8AC" w:rsidR="000D53BC" w:rsidRPr="000D53BC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Агрессивное и </w:t>
            </w:r>
            <w:r w:rsid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суицидальное поведение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больных</w:t>
            </w:r>
            <w:r w:rsidR="0075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92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Тактика медицинской сестры.</w:t>
            </w:r>
          </w:p>
          <w:p w14:paraId="280A9926" w14:textId="02383F0B" w:rsidR="00043F5F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Кузнецова Елена Петровна, старшая медицинская сестра отделения трудовой экспертизы и</w:t>
            </w:r>
            <w:r w:rsidR="00C87B2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первого психотического </w:t>
            </w:r>
            <w:r w:rsid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эпизода ГБУЗ</w:t>
            </w:r>
            <w:r w:rsidR="00B001DC" w:rsidRP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АО "</w:t>
            </w:r>
            <w:r w:rsidR="0059283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ОКПБ</w:t>
            </w:r>
            <w:r w:rsidR="00B001DC" w:rsidRP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"</w:t>
            </w:r>
            <w:r w:rsidR="00C87B2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г. Астрахань.</w:t>
            </w:r>
          </w:p>
          <w:p w14:paraId="42D735E1" w14:textId="664133AD" w:rsidR="00AF1028" w:rsidRPr="00AF1028" w:rsidRDefault="00AF1028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AF102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тактике ведения пациентов с агрессивным поведением. Лектор расскажет, как быстро, эффективно и безопасно купировать возбуждение и проявления агрессии у </w:t>
            </w:r>
            <w:r w:rsidRPr="00AF102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lastRenderedPageBreak/>
              <w:t>пациента, о соблюдении основных принципов построения беседы с агрессивным больным.</w:t>
            </w:r>
          </w:p>
          <w:p w14:paraId="3D5338CB" w14:textId="26C79D7D" w:rsidR="001445CD" w:rsidRPr="00D0580F" w:rsidRDefault="001445CD" w:rsidP="00D0580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347458A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CC521" w14:textId="7B69B85F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10.45-10.55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35017" w14:textId="77777777" w:rsidR="00043F5F" w:rsidRDefault="00043F5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4E8F726B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AA1E9" w14:textId="4A61573F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10.55-11.10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7394" w14:textId="259D807F" w:rsidR="0075776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Основные симптомы эндогенных заболеваний шизофренического спектра (позитивные и негативные расстройства)</w:t>
            </w:r>
            <w:r w:rsidR="0075776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F3ABA52" w14:textId="2DDCD160" w:rsidR="00043F5F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="00B001DC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Андреев Андрей Юрьевич, врач-психиатр </w:t>
            </w:r>
            <w:proofErr w:type="spellStart"/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общепсихиатрического</w:t>
            </w:r>
            <w:proofErr w:type="spellEnd"/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мужского отделения №4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ГБУЗ АО 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ПБ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г. 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Астрахань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5C29E6FD" w14:textId="39452247" w:rsidR="0018365E" w:rsidRPr="00A70462" w:rsidRDefault="00A70462" w:rsidP="00D93FC0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A7046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о </w:t>
            </w:r>
            <w:r w:rsidRPr="00A7046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начальных проявлениях различных форм шизофрении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</w:t>
            </w:r>
            <w:r w:rsidRPr="00A7046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о клинических вариантах развернутых стадий заболевания, а также о некоторых правилах поведения и общения с заболевшим человеком.</w:t>
            </w:r>
          </w:p>
        </w:tc>
      </w:tr>
      <w:tr w:rsidR="0075776F" w14:paraId="56106CD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54C08" w14:textId="7176E828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11.10-11.20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2D4F4" w14:textId="77777777" w:rsidR="00043F5F" w:rsidRDefault="00043F5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84D0EF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2BF933" w14:textId="41C0DBF9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11.20-11.35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00DA" w14:textId="45355506" w:rsidR="00043F5F" w:rsidRPr="00F77C7D" w:rsidRDefault="006A2E10" w:rsidP="00F77C7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6A2E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Особенности </w:t>
            </w:r>
            <w:r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сестринского процесса при болезни Альцгеймера.</w:t>
            </w:r>
          </w:p>
          <w:p w14:paraId="65A1978A" w14:textId="7371C7E1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3065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Малькова Татьяна Владимировна, старшая медицинская сестра </w:t>
            </w:r>
            <w:proofErr w:type="spellStart"/>
            <w:r w:rsidR="0053065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соматогериатрического</w:t>
            </w:r>
            <w:proofErr w:type="spellEnd"/>
            <w:r w:rsidR="0053065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мужского отделения №17</w:t>
            </w:r>
            <w:r w:rsidR="00B0514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ГБУЗ АО 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6A2E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ПБ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 г.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Астрахань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033F7C00" w14:textId="4B7F6CBA" w:rsidR="00D93FC0" w:rsidRDefault="00CE6E45" w:rsidP="005F262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Лектор расскажет об э</w:t>
            </w:r>
            <w:r w:rsidRPr="00CE6E4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тап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ах</w:t>
            </w:r>
            <w:r w:rsidRPr="00CE6E4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развития заболевания, их основны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х</w:t>
            </w:r>
            <w:r w:rsidRPr="00CE6E4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признак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ах</w:t>
            </w:r>
            <w:r w:rsid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. Слушатели </w:t>
            </w:r>
            <w:r w:rsidR="009001C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узнают,</w:t>
            </w:r>
            <w:r w:rsid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001C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как </w:t>
            </w:r>
            <w:r w:rsidR="009001C5" w:rsidRP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обеспечить</w:t>
            </w:r>
            <w:r w:rsidR="005F2620" w:rsidRP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уход за больным в </w:t>
            </w:r>
            <w:r w:rsid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стационарных и </w:t>
            </w:r>
            <w:r w:rsidR="005F2620" w:rsidRP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домашних условиях</w:t>
            </w:r>
            <w:r w:rsid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, об </w:t>
            </w:r>
            <w:r w:rsidR="005F2620" w:rsidRP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определённ</w:t>
            </w:r>
            <w:r w:rsid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ом</w:t>
            </w:r>
            <w:r w:rsidR="005F2620" w:rsidRP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режим</w:t>
            </w:r>
            <w:r w:rsid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е</w:t>
            </w:r>
            <w:r w:rsidR="005F2620" w:rsidRP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дня для</w:t>
            </w:r>
            <w:r w:rsid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больных с таким диагнозом, </w:t>
            </w:r>
            <w:r w:rsidR="009001C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а так же, как</w:t>
            </w:r>
            <w:r w:rsid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F2620" w:rsidRPr="005F262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помочь пациенту сохранить чувство собственного достоинства</w:t>
            </w:r>
            <w:r w:rsidR="000955C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24D1C08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03EDD" w14:textId="7235C2CC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11.35-11.45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86D30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EFB67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3B8B6" w14:textId="57B65C77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11.45- 12.00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E466" w14:textId="1B5067E0" w:rsidR="00043F5F" w:rsidRPr="00216454" w:rsidRDefault="00043F5F" w:rsidP="0022423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53065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Психиатрические особенности конфликтного пациента и правила общения с ним.</w:t>
            </w:r>
          </w:p>
          <w:p w14:paraId="6C84056D" w14:textId="6F0DEF9B" w:rsidR="00043F5F" w:rsidRDefault="00530652" w:rsidP="0022423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Докладчик: </w:t>
            </w:r>
            <w:proofErr w:type="spellStart"/>
            <w:r w:rsidRPr="00C87B2D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Утешова</w:t>
            </w:r>
            <w:proofErr w:type="spellEnd"/>
            <w:r w:rsidRPr="00C87B2D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Венера </w:t>
            </w:r>
            <w:proofErr w:type="spellStart"/>
            <w:r w:rsidRPr="00C87B2D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Косаевна</w:t>
            </w:r>
            <w:proofErr w:type="spellEnd"/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321282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старшая медицинская</w:t>
            </w: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530652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сестра фтизиатрического отделения ГБУЗ АО </w:t>
            </w:r>
            <w:r w:rsidR="00C87B2D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«ОКПБ», г. Астрахань</w:t>
            </w:r>
            <w:r w:rsidR="008136DC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1FD127C7" w14:textId="0E8212AD" w:rsidR="00FF0578" w:rsidRDefault="00B87801" w:rsidP="00161E6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Слушатели узнают, к</w:t>
            </w:r>
            <w:r w:rsidRPr="00B87801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ак вычислить трудного пациента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(</w:t>
            </w:r>
            <w:r w:rsidRPr="00B87801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распознавать норму, акцентуации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87801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характера и психиатрические патологии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). Лектор расскажет, о типах личности (</w:t>
            </w:r>
            <w:proofErr w:type="spellStart"/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истероидном</w:t>
            </w:r>
            <w:proofErr w:type="spellEnd"/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, э</w:t>
            </w:r>
            <w:r w:rsidRPr="00B87801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пилептоидн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ом, </w:t>
            </w:r>
            <w:proofErr w:type="spellStart"/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паранояльном</w:t>
            </w:r>
            <w:proofErr w:type="spellEnd"/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, эмотивном</w:t>
            </w:r>
            <w:r w:rsid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, шизоидном, </w:t>
            </w:r>
            <w:proofErr w:type="spellStart"/>
            <w:r w:rsid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гипертимном</w:t>
            </w:r>
            <w:proofErr w:type="spellEnd"/>
            <w:r w:rsid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гипертимном</w:t>
            </w:r>
            <w:proofErr w:type="spellEnd"/>
            <w:r w:rsid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, тревожном) и об особенностях коммуникации с ними. Докладчик даст о</w:t>
            </w:r>
            <w:r w:rsidR="00FE172C" w:rsidRP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бщие рекомендации</w:t>
            </w:r>
            <w:r w:rsid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E172C" w:rsidRP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общения с </w:t>
            </w:r>
            <w:r w:rsid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конфликтными пациентами</w:t>
            </w:r>
            <w:r w:rsidR="00161E6F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  <w:r w:rsidR="00FE172C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75776F" w14:paraId="0EFC66D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7BD69" w14:textId="66F2D62D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12.00-12.10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A383E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220340D4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2D294" w14:textId="1089549C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12.10-12.25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2FA30" w14:textId="613DFB2C" w:rsidR="005167CF" w:rsidRDefault="00321282" w:rsidP="00F77C7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321282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Военно-врачебная экспертиза</w:t>
            </w:r>
            <w:r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призывников, страдающих психическими расстройствами.</w:t>
            </w:r>
          </w:p>
          <w:p w14:paraId="7999EEAE" w14:textId="65AD2E12" w:rsidR="00043F5F" w:rsidRDefault="00043F5F" w:rsidP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212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Самосудов Иван Викторови</w:t>
            </w:r>
            <w:r w:rsidR="00C87B2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ч, заведующий отделением военно-врачебной</w:t>
            </w:r>
            <w:r w:rsidR="003212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экспертизы</w:t>
            </w:r>
            <w:r w:rsidR="002242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212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ГБУЗ АО «ОКПБ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C87B2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г. Астрахань.</w:t>
            </w:r>
          </w:p>
          <w:p w14:paraId="3FCD4A2C" w14:textId="77777777" w:rsidR="00EA4739" w:rsidRDefault="00EA4739" w:rsidP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23C0695E" w14:textId="3EE8024E" w:rsidR="00A26AC5" w:rsidRPr="00EA4739" w:rsidRDefault="00EA4739" w:rsidP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EA473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расскажет, кто подлежит освидетельствованию, о целях и задачах ВВЭ. </w:t>
            </w:r>
            <w:r w:rsidR="00161E6F" w:rsidRPr="00EA473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принципах диагностики психических расстройств при проведении военно-врачебной экспертизы. </w:t>
            </w:r>
          </w:p>
          <w:p w14:paraId="764DCECB" w14:textId="7F4BCA25" w:rsidR="00224232" w:rsidRPr="00565684" w:rsidRDefault="00224232" w:rsidP="00C87B2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1993AA7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ABAE3" w14:textId="15B73951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12.25-12.35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0874E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5569C9" w14:paraId="79CD713C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62AB83" w14:textId="06C65878" w:rsidR="005569C9" w:rsidRPr="008C10C9" w:rsidRDefault="00720F3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12.35 -12.50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415E" w14:textId="77777777" w:rsidR="005569C9" w:rsidRDefault="005569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001C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Гендерные различия сексуальной функции у больных эпилепсией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520CE5E" w14:textId="77777777" w:rsidR="005569C9" w:rsidRDefault="005569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001C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Шигидина</w:t>
            </w:r>
            <w:proofErr w:type="spellEnd"/>
            <w:r w:rsidRP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Елена Владимировна, 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</w:t>
            </w:r>
            <w:r w:rsidRP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лавная медицинская сестра ГБУЗ "Волгоградская областная клиническая психиатрическая больница №2"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7A5A6B25" w14:textId="5774FE1C" w:rsidR="00FE1293" w:rsidRPr="004E7BF1" w:rsidRDefault="004E7BF1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4E7BF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влиянии базисных характеристик эпилепсии, личностных характеристик больных и их психопатологического состояния на сексуальную функцию.</w:t>
            </w:r>
          </w:p>
        </w:tc>
      </w:tr>
      <w:tr w:rsidR="005569C9" w14:paraId="49130319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5146D" w14:textId="63B32242" w:rsidR="005569C9" w:rsidRPr="008C10C9" w:rsidRDefault="00720F3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12.50-13.00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84F9" w14:textId="75CE1415" w:rsidR="005569C9" w:rsidRDefault="005569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5569C9" w14:paraId="2582C61C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A679A2" w14:textId="5436359E" w:rsidR="005569C9" w:rsidRPr="008C10C9" w:rsidRDefault="00720F3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13.00-13.15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F974" w14:textId="77777777" w:rsidR="005569C9" w:rsidRDefault="005569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001C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Коррекция синдрома ночной еды у пациентов с тревожно-депрессивными расстройствами.</w:t>
            </w:r>
          </w:p>
          <w:p w14:paraId="68FD4691" w14:textId="694FF0A2" w:rsidR="005569C9" w:rsidRDefault="005569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001C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5569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Гуляева Татьяна Валентиновна старшая медицинская сестра ОССП №2 ГБУЗ "Волгоградская областная клиническая психиатрическая больница №2"</w:t>
            </w:r>
            <w:r w:rsidR="005D57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3ACF5CE8" w14:textId="77777777" w:rsidR="00A606DC" w:rsidRDefault="00A606DC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3EF00B17" w14:textId="5D5D932C" w:rsidR="005D57F8" w:rsidRPr="00A606DC" w:rsidRDefault="00383BC1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A606D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расскажет о синдроме </w:t>
            </w:r>
            <w:proofErr w:type="spellStart"/>
            <w:r w:rsidRPr="00A606D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Стункарта</w:t>
            </w:r>
            <w:proofErr w:type="spellEnd"/>
            <w:r w:rsidRPr="00A606D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- </w:t>
            </w:r>
            <w:r w:rsidR="00274672" w:rsidRPr="00A606D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нарушении пищевого поведения во сне, о первых признаках расстройства.</w:t>
            </w:r>
          </w:p>
          <w:p w14:paraId="2394FB8B" w14:textId="460ED790" w:rsidR="005D57F8" w:rsidRDefault="005D57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606D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 личностных особенностях, предрасполагающих к стрессовому реагированию на жизненные ситуации</w:t>
            </w:r>
            <w:r w:rsidR="00A606D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 о коррекции данного состояния.</w:t>
            </w:r>
          </w:p>
        </w:tc>
      </w:tr>
      <w:tr w:rsidR="0075776F" w14:paraId="5DE97588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08EA24" w14:textId="3A37EEDA" w:rsidR="00043F5F" w:rsidRPr="008C10C9" w:rsidRDefault="00720F3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13.15- 13.30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B2725" w14:textId="278F19CE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</w:t>
            </w:r>
            <w:r w:rsidR="005569C9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я</w:t>
            </w:r>
          </w:p>
        </w:tc>
      </w:tr>
    </w:tbl>
    <w:p w14:paraId="604EBA00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828AE38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785DE3A9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57A4A1D8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47426971" w14:textId="44F3CA4C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856F7D" wp14:editId="5384B60B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Председатель программного комитета</w:t>
      </w:r>
    </w:p>
    <w:p w14:paraId="59D3ECE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Президент АРОО «</w:t>
      </w:r>
      <w:proofErr w:type="gram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ПСА»   </w:t>
      </w:r>
      <w:proofErr w:type="gram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В.П. </w:t>
      </w:r>
      <w:proofErr w:type="spell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Анопко</w:t>
      </w:r>
      <w:proofErr w:type="spell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</w:t>
      </w:r>
    </w:p>
    <w:p w14:paraId="3234B72F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B644850" w14:textId="77777777" w:rsidR="00043F5F" w:rsidRDefault="00043F5F" w:rsidP="00043F5F">
      <w:pPr>
        <w:rPr>
          <w:sz w:val="36"/>
          <w:szCs w:val="36"/>
        </w:rPr>
      </w:pPr>
    </w:p>
    <w:p w14:paraId="4136EE6B" w14:textId="77777777" w:rsidR="00043F5F" w:rsidRDefault="00043F5F" w:rsidP="00043F5F"/>
    <w:p w14:paraId="7365520A" w14:textId="77777777" w:rsidR="00043F5F" w:rsidRDefault="00043F5F" w:rsidP="00043F5F"/>
    <w:p w14:paraId="425C1354" w14:textId="77777777" w:rsidR="00355D1C" w:rsidRDefault="00355D1C"/>
    <w:sectPr w:rsidR="0035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nQuanYi Micro Hei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ohit Devanagari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5F"/>
    <w:rsid w:val="00004A51"/>
    <w:rsid w:val="00043F5F"/>
    <w:rsid w:val="00070D82"/>
    <w:rsid w:val="000955C5"/>
    <w:rsid w:val="000D53BC"/>
    <w:rsid w:val="001445CD"/>
    <w:rsid w:val="00161E6F"/>
    <w:rsid w:val="0018365E"/>
    <w:rsid w:val="00216454"/>
    <w:rsid w:val="00224232"/>
    <w:rsid w:val="00242D1D"/>
    <w:rsid w:val="00274672"/>
    <w:rsid w:val="002D0372"/>
    <w:rsid w:val="00321282"/>
    <w:rsid w:val="00355D1C"/>
    <w:rsid w:val="00383BC1"/>
    <w:rsid w:val="00387E36"/>
    <w:rsid w:val="00415D16"/>
    <w:rsid w:val="004364D3"/>
    <w:rsid w:val="00482EA4"/>
    <w:rsid w:val="004E7BF1"/>
    <w:rsid w:val="005167CF"/>
    <w:rsid w:val="00530652"/>
    <w:rsid w:val="005569C9"/>
    <w:rsid w:val="00560758"/>
    <w:rsid w:val="00565684"/>
    <w:rsid w:val="00582EB4"/>
    <w:rsid w:val="00592833"/>
    <w:rsid w:val="005D57F8"/>
    <w:rsid w:val="005D5B49"/>
    <w:rsid w:val="005F2620"/>
    <w:rsid w:val="00647889"/>
    <w:rsid w:val="006A2E10"/>
    <w:rsid w:val="006A6482"/>
    <w:rsid w:val="006F0F53"/>
    <w:rsid w:val="00720F37"/>
    <w:rsid w:val="0075776F"/>
    <w:rsid w:val="007F5764"/>
    <w:rsid w:val="008136DC"/>
    <w:rsid w:val="00867C62"/>
    <w:rsid w:val="008A5F02"/>
    <w:rsid w:val="008C10C9"/>
    <w:rsid w:val="008C6C4F"/>
    <w:rsid w:val="008E2A92"/>
    <w:rsid w:val="008E5DE5"/>
    <w:rsid w:val="009001C5"/>
    <w:rsid w:val="00955452"/>
    <w:rsid w:val="009F06CA"/>
    <w:rsid w:val="009F2928"/>
    <w:rsid w:val="00A26AC5"/>
    <w:rsid w:val="00A27F7B"/>
    <w:rsid w:val="00A606DC"/>
    <w:rsid w:val="00A70462"/>
    <w:rsid w:val="00A71272"/>
    <w:rsid w:val="00AD729A"/>
    <w:rsid w:val="00AF0CEC"/>
    <w:rsid w:val="00AF1028"/>
    <w:rsid w:val="00B001DC"/>
    <w:rsid w:val="00B0514D"/>
    <w:rsid w:val="00B6315E"/>
    <w:rsid w:val="00B87801"/>
    <w:rsid w:val="00BA0E9D"/>
    <w:rsid w:val="00C551CD"/>
    <w:rsid w:val="00C572A5"/>
    <w:rsid w:val="00C83DEE"/>
    <w:rsid w:val="00C87B2D"/>
    <w:rsid w:val="00CC3B2C"/>
    <w:rsid w:val="00CD12CA"/>
    <w:rsid w:val="00CE6E45"/>
    <w:rsid w:val="00CF5F3F"/>
    <w:rsid w:val="00D0580F"/>
    <w:rsid w:val="00D36A6E"/>
    <w:rsid w:val="00D37538"/>
    <w:rsid w:val="00D93FC0"/>
    <w:rsid w:val="00DD046B"/>
    <w:rsid w:val="00E344BD"/>
    <w:rsid w:val="00EA4739"/>
    <w:rsid w:val="00F05245"/>
    <w:rsid w:val="00F61E88"/>
    <w:rsid w:val="00F6514F"/>
    <w:rsid w:val="00F77C7D"/>
    <w:rsid w:val="00FE1293"/>
    <w:rsid w:val="00FE172C"/>
    <w:rsid w:val="00FF0578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5A4"/>
  <w15:chartTrackingRefBased/>
  <w15:docId w15:val="{6F3009C8-41BF-48A8-8A51-D0A2614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5F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F0578"/>
  </w:style>
  <w:style w:type="character" w:customStyle="1" w:styleId="20">
    <w:name w:val="Заголовок 2 Знак"/>
    <w:basedOn w:val="a0"/>
    <w:link w:val="2"/>
    <w:uiPriority w:val="9"/>
    <w:semiHidden/>
    <w:rsid w:val="00224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37</cp:revision>
  <dcterms:created xsi:type="dcterms:W3CDTF">2021-12-06T08:48:00Z</dcterms:created>
  <dcterms:modified xsi:type="dcterms:W3CDTF">2023-07-03T10:57:00Z</dcterms:modified>
</cp:coreProperties>
</file>